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945DA" w:rsidRDefault="00B945DA" w:rsidP="00B945D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9DA443" wp14:editId="2DB34C33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45DA" w:rsidRDefault="00B945DA" w:rsidP="00B945D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B945DA" w:rsidRDefault="00B945DA" w:rsidP="00B945D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B945DA" w:rsidRDefault="00B945DA" w:rsidP="00B945D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945DA" w:rsidRDefault="00B945DA" w:rsidP="00B945D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B945DA" w:rsidRDefault="00B945DA" w:rsidP="00B945D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B945DA" w:rsidRDefault="00B945DA" w:rsidP="00B945D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eastAsia="uk-UA"/>
        </w:rPr>
        <w:drawing>
          <wp:inline distT="0" distB="0" distL="0" distR="0" wp14:anchorId="527EFA4C" wp14:editId="6C55112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B27A66" w:rsidRPr="00B945DA" w:rsidRDefault="00B27A66" w:rsidP="00B945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B945DA">
        <w:rPr>
          <w:rFonts w:ascii="Times New Roman" w:eastAsia="Calibri" w:hAnsi="Times New Roman" w:cs="Times New Roman"/>
          <w:b/>
          <w:sz w:val="27"/>
          <w:szCs w:val="27"/>
        </w:rPr>
        <w:t>Право на отримання податкової знижки в частині процентів за користування іпотечним житловим кредитом</w:t>
      </w:r>
    </w:p>
    <w:p w:rsidR="00B27A66" w:rsidRPr="00B945DA" w:rsidRDefault="00B27A66" w:rsidP="00B27A6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</w:p>
    <w:p w:rsidR="00B27A66" w:rsidRPr="00B945DA" w:rsidRDefault="00B27A66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945DA">
        <w:rPr>
          <w:rFonts w:ascii="Times New Roman" w:eastAsia="Calibri" w:hAnsi="Times New Roman" w:cs="Times New Roman"/>
          <w:sz w:val="27"/>
          <w:szCs w:val="27"/>
        </w:rPr>
        <w:t>Головне управління ДПС у Черкаській області повідомляє, що відповідно до п.п. 166.3.1 п. 166.3 ст. 166 та п. 175.1 ст. 175 розділу IV Податкового кодексу України від 02 грудня 2010 року № 2755-VI (далі – ПКУ) платник податку - резидент має право включити до податкової знижки частину суми процентів за користування іпотечним житловим кредитом, наданим позичальнику в національній або іноземній валютах, фактично сплачених протягом звітного податкового року.</w:t>
      </w:r>
    </w:p>
    <w:p w:rsidR="00B27A66" w:rsidRPr="00B945DA" w:rsidRDefault="00B27A66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945DA">
        <w:rPr>
          <w:rFonts w:ascii="Times New Roman" w:eastAsia="Calibri" w:hAnsi="Times New Roman" w:cs="Times New Roman"/>
          <w:sz w:val="27"/>
          <w:szCs w:val="27"/>
        </w:rPr>
        <w:t>При сплаті процентів за іпотечним житловим кредитом в іноземній валюті сума платежів за такими процентами, здійснених в іноземній валюті, перераховується у гривні за офіційним валютним (обмінним) курсом Національного банку України, що діє на день сплати таких процентів.</w:t>
      </w:r>
    </w:p>
    <w:p w:rsidR="00B27A66" w:rsidRPr="00B945DA" w:rsidRDefault="00B27A66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945DA">
        <w:rPr>
          <w:rFonts w:ascii="Times New Roman" w:eastAsia="Calibri" w:hAnsi="Times New Roman" w:cs="Times New Roman"/>
          <w:sz w:val="27"/>
          <w:szCs w:val="27"/>
        </w:rPr>
        <w:t>Таке право виникає в разі якщо за рахунок іпотечного житлового кредиту будується чи купується житловий будинок (квартира, кімната), визначений платником податку як основне місце його проживання, зокрема згідно з позначкою в паспорті про реєстрацію за місцезнаходженням такого житла.</w:t>
      </w:r>
    </w:p>
    <w:p w:rsidR="00B27A66" w:rsidRPr="00B945DA" w:rsidRDefault="00B27A66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945DA">
        <w:rPr>
          <w:rFonts w:ascii="Times New Roman" w:eastAsia="Calibri" w:hAnsi="Times New Roman" w:cs="Times New Roman"/>
          <w:sz w:val="27"/>
          <w:szCs w:val="27"/>
        </w:rPr>
        <w:t>Крім того, відповідно до п.п. 166.3.8 п. 166.3 ст. 166 ПКУ фізична особа – резидент має право включити до податкової знижки суми витрат, які пов’язані із сплатою видатків на будівництво (придбання) доступного житла, визначеного законом, у тому числі на погашення пільгового іпотечного житлового кредиту, наданого на такі цілі, та процентів за ним.</w:t>
      </w:r>
    </w:p>
    <w:p w:rsidR="00B27A66" w:rsidRPr="00B945DA" w:rsidRDefault="00B27A66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945DA">
        <w:rPr>
          <w:rFonts w:ascii="Times New Roman" w:eastAsia="Calibri" w:hAnsi="Times New Roman" w:cs="Times New Roman"/>
          <w:sz w:val="27"/>
          <w:szCs w:val="27"/>
        </w:rPr>
        <w:t>Згідно із п. 175.4 ст. 175 ПКУ право на включення до податкової знижки суми, розрахованої згідно з ст. 175, надається платнику податку за одним іпотечним кредитом протягом 10 послідовних календарних років починаючи з року, в якому:</w:t>
      </w:r>
    </w:p>
    <w:p w:rsidR="00B27A66" w:rsidRPr="00B945DA" w:rsidRDefault="00B27A66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945DA">
        <w:rPr>
          <w:rFonts w:ascii="Times New Roman" w:eastAsia="Calibri" w:hAnsi="Times New Roman" w:cs="Times New Roman"/>
          <w:sz w:val="27"/>
          <w:szCs w:val="27"/>
        </w:rPr>
        <w:t>об’єкт житлової іпотеки придбавається;</w:t>
      </w:r>
    </w:p>
    <w:p w:rsidR="00B27A66" w:rsidRPr="00B945DA" w:rsidRDefault="00B27A66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945DA">
        <w:rPr>
          <w:rFonts w:ascii="Times New Roman" w:eastAsia="Calibri" w:hAnsi="Times New Roman" w:cs="Times New Roman"/>
          <w:sz w:val="27"/>
          <w:szCs w:val="27"/>
        </w:rPr>
        <w:t>збудований об’єкт житлової іпотеки переходить у власність платника податку та починає використовуватися як основне місце проживання.</w:t>
      </w:r>
    </w:p>
    <w:p w:rsidR="00B27A66" w:rsidRPr="00B945DA" w:rsidRDefault="00B27A66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945DA">
        <w:rPr>
          <w:rFonts w:ascii="Times New Roman" w:eastAsia="Calibri" w:hAnsi="Times New Roman" w:cs="Times New Roman"/>
          <w:sz w:val="27"/>
          <w:szCs w:val="27"/>
        </w:rPr>
        <w:t>У разі якщо іпотечний житловий кредит має строк погашення більше ніж 10 календарних років, право на включення частини суми процентів до податкової знижки за новим іпотечним житловим кредитом виникає у платника податку після повного погашення основної суми та процентів попереднього іпотечного житлового кредиту.</w:t>
      </w:r>
    </w:p>
    <w:p w:rsidR="003C638F" w:rsidRPr="00B945DA" w:rsidRDefault="00B27A66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945DA">
        <w:rPr>
          <w:rFonts w:ascii="Times New Roman" w:eastAsia="Calibri" w:hAnsi="Times New Roman" w:cs="Times New Roman"/>
          <w:sz w:val="27"/>
          <w:szCs w:val="27"/>
        </w:rPr>
        <w:t>Відповідно до п. 175.5 ст. 175 ПКУ у разі якщо сума одержаного фізичною особою іпотечного житлового кредиту перевищує суму, витрачену на придбання (будівництво) предмета іпотеки, до складу витрат включається сума відсотків, сплачена за користування іпотечним кредитом у частині, витраченій за цільовим призначенням.</w:t>
      </w:r>
    </w:p>
    <w:p w:rsidR="00B945DA" w:rsidRPr="00B945DA" w:rsidRDefault="00B945DA" w:rsidP="00B27A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B945DA" w:rsidRPr="00B945DA" w:rsidRDefault="00B945DA" w:rsidP="00B945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945DA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B945D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945DA">
        <w:rPr>
          <w:rFonts w:ascii="Times New Roman" w:hAnsi="Times New Roman" w:cs="Times New Roman"/>
          <w:sz w:val="20"/>
          <w:szCs w:val="20"/>
        </w:rPr>
        <w:t>-</w:t>
      </w:r>
      <w:r w:rsidRPr="00B945DA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945DA">
        <w:rPr>
          <w:rFonts w:ascii="Times New Roman" w:hAnsi="Times New Roman" w:cs="Times New Roman"/>
          <w:sz w:val="20"/>
          <w:szCs w:val="20"/>
        </w:rPr>
        <w:t xml:space="preserve">: </w:t>
      </w:r>
      <w:hyperlink r:id="rId10" w:history="1">
        <w:r w:rsidRPr="00B945DA">
          <w:rPr>
            <w:rStyle w:val="ae"/>
            <w:rFonts w:ascii="Times New Roman" w:hAnsi="Times New Roman" w:cs="Times New Roman"/>
            <w:sz w:val="20"/>
            <w:lang w:val="en-US"/>
          </w:rPr>
          <w:t>ck</w:t>
        </w:r>
        <w:r w:rsidRPr="00B945DA">
          <w:rPr>
            <w:rStyle w:val="ae"/>
            <w:rFonts w:ascii="Times New Roman" w:hAnsi="Times New Roman" w:cs="Times New Roman"/>
            <w:sz w:val="20"/>
          </w:rPr>
          <w:t>.</w:t>
        </w:r>
        <w:r w:rsidRPr="00B945DA">
          <w:rPr>
            <w:rStyle w:val="ae"/>
            <w:rFonts w:ascii="Times New Roman" w:hAnsi="Times New Roman" w:cs="Times New Roman"/>
            <w:sz w:val="20"/>
            <w:lang w:val="en-US"/>
          </w:rPr>
          <w:t>zmi</w:t>
        </w:r>
        <w:r w:rsidRPr="00B945DA">
          <w:rPr>
            <w:rStyle w:val="ae"/>
            <w:rFonts w:ascii="Times New Roman" w:hAnsi="Times New Roman" w:cs="Times New Roman"/>
            <w:sz w:val="20"/>
          </w:rPr>
          <w:t>@</w:t>
        </w:r>
        <w:r w:rsidRPr="00B945DA">
          <w:rPr>
            <w:rStyle w:val="ae"/>
            <w:rFonts w:ascii="Times New Roman" w:hAnsi="Times New Roman" w:cs="Times New Roman"/>
            <w:sz w:val="20"/>
            <w:lang w:val="en-US"/>
          </w:rPr>
          <w:t>tax</w:t>
        </w:r>
        <w:r w:rsidRPr="00B945DA">
          <w:rPr>
            <w:rStyle w:val="ae"/>
            <w:rFonts w:ascii="Times New Roman" w:hAnsi="Times New Roman" w:cs="Times New Roman"/>
            <w:sz w:val="20"/>
          </w:rPr>
          <w:t>.</w:t>
        </w:r>
        <w:r w:rsidRPr="00B945DA">
          <w:rPr>
            <w:rStyle w:val="ae"/>
            <w:rFonts w:ascii="Times New Roman" w:hAnsi="Times New Roman" w:cs="Times New Roman"/>
            <w:sz w:val="20"/>
            <w:lang w:val="en-US"/>
          </w:rPr>
          <w:t>gov</w:t>
        </w:r>
        <w:r w:rsidRPr="00B945DA">
          <w:rPr>
            <w:rStyle w:val="ae"/>
            <w:rFonts w:ascii="Times New Roman" w:hAnsi="Times New Roman" w:cs="Times New Roman"/>
            <w:sz w:val="20"/>
          </w:rPr>
          <w:t>.</w:t>
        </w:r>
        <w:r w:rsidRPr="00B945DA">
          <w:rPr>
            <w:rStyle w:val="ae"/>
            <w:rFonts w:ascii="Times New Roman" w:hAnsi="Times New Roman" w:cs="Times New Roman"/>
            <w:sz w:val="20"/>
            <w:lang w:val="en-US"/>
          </w:rPr>
          <w:t>ua</w:t>
        </w:r>
      </w:hyperlink>
    </w:p>
    <w:p w:rsidR="00B945DA" w:rsidRPr="00B945DA" w:rsidRDefault="00B945DA" w:rsidP="00B945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945DA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11" w:history="1">
        <w:r w:rsidRPr="00B945DA">
          <w:rPr>
            <w:rStyle w:val="ae"/>
            <w:rFonts w:ascii="Times New Roman" w:hAnsi="Times New Roman" w:cs="Times New Roman"/>
            <w:sz w:val="20"/>
          </w:rPr>
          <w:t>https://ck.tax.gov.ua/</w:t>
        </w:r>
      </w:hyperlink>
    </w:p>
    <w:p w:rsidR="00B27A66" w:rsidRPr="00B27A66" w:rsidRDefault="00B27A66" w:rsidP="00B27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27A66" w:rsidRPr="00B27A66" w:rsidSect="00B27A66">
      <w:headerReference w:type="default" r:id="rId12"/>
      <w:pgSz w:w="11906" w:h="16838"/>
      <w:pgMar w:top="1135" w:right="70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8A4" w:rsidRDefault="007618A4" w:rsidP="00EB59A2">
      <w:pPr>
        <w:spacing w:after="0" w:line="240" w:lineRule="auto"/>
      </w:pPr>
      <w:r>
        <w:separator/>
      </w:r>
    </w:p>
  </w:endnote>
  <w:endnote w:type="continuationSeparator" w:id="0">
    <w:p w:rsidR="007618A4" w:rsidRDefault="007618A4" w:rsidP="00EB5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8A4" w:rsidRDefault="007618A4" w:rsidP="00EB59A2">
      <w:pPr>
        <w:spacing w:after="0" w:line="240" w:lineRule="auto"/>
      </w:pPr>
      <w:r>
        <w:separator/>
      </w:r>
    </w:p>
  </w:footnote>
  <w:footnote w:type="continuationSeparator" w:id="0">
    <w:p w:rsidR="007618A4" w:rsidRDefault="007618A4" w:rsidP="00EB5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9A2" w:rsidRDefault="00EB59A2" w:rsidP="00EB59A2">
    <w:pPr>
      <w:pStyle w:val="a9"/>
      <w:jc w:val="center"/>
      <w:rPr>
        <w:rFonts w:ascii="Times New Roman" w:hAnsi="Times New Roman" w:cs="Times New Roman"/>
        <w:bCs/>
        <w:kern w:val="36"/>
        <w:sz w:val="24"/>
        <w:szCs w:val="24"/>
        <w:lang w:val="ru-RU"/>
      </w:rPr>
    </w:pPr>
    <w:r>
      <w:rPr>
        <w:rFonts w:ascii="Times New Roman" w:hAnsi="Times New Roman" w:cs="Times New Roman"/>
        <w:bCs/>
        <w:kern w:val="36"/>
        <w:sz w:val="24"/>
        <w:szCs w:val="24"/>
      </w:rPr>
      <w:t xml:space="preserve">                                                                                         </w:t>
    </w:r>
    <w:r w:rsidRPr="00690437">
      <w:rPr>
        <w:rFonts w:ascii="Times New Roman" w:hAnsi="Times New Roman" w:cs="Times New Roman"/>
        <w:bCs/>
        <w:kern w:val="36"/>
        <w:sz w:val="24"/>
        <w:szCs w:val="24"/>
      </w:rPr>
      <w:t>Додаток до службового листа від</w:t>
    </w:r>
    <w:r w:rsidRPr="00690437">
      <w:rPr>
        <w:rFonts w:ascii="Times New Roman" w:hAnsi="Times New Roman" w:cs="Times New Roman"/>
        <w:bCs/>
        <w:kern w:val="36"/>
        <w:sz w:val="24"/>
        <w:szCs w:val="24"/>
        <w:lang w:val="ru-RU"/>
      </w:rPr>
      <w:t xml:space="preserve"> </w:t>
    </w:r>
    <w:r>
      <w:rPr>
        <w:rFonts w:ascii="Times New Roman" w:hAnsi="Times New Roman" w:cs="Times New Roman"/>
        <w:bCs/>
        <w:kern w:val="36"/>
        <w:sz w:val="24"/>
        <w:szCs w:val="24"/>
        <w:lang w:val="ru-RU"/>
      </w:rPr>
      <w:t xml:space="preserve">  </w:t>
    </w:r>
  </w:p>
  <w:p w:rsidR="00EB59A2" w:rsidRDefault="00EB59A2" w:rsidP="00EB59A2">
    <w:pPr>
      <w:pStyle w:val="a9"/>
      <w:jc w:val="center"/>
    </w:pPr>
    <w:r>
      <w:rPr>
        <w:rFonts w:ascii="Times New Roman" w:hAnsi="Times New Roman" w:cs="Times New Roman"/>
        <w:bCs/>
        <w:kern w:val="36"/>
        <w:sz w:val="24"/>
        <w:szCs w:val="24"/>
        <w:lang w:val="ru-RU"/>
      </w:rPr>
      <w:tab/>
    </w:r>
    <w:r w:rsidR="00F7295A">
      <w:rPr>
        <w:rFonts w:ascii="Times New Roman" w:hAnsi="Times New Roman" w:cs="Times New Roman"/>
        <w:bCs/>
        <w:kern w:val="36"/>
        <w:sz w:val="24"/>
        <w:szCs w:val="24"/>
        <w:lang w:val="ru-RU"/>
      </w:rPr>
      <w:t xml:space="preserve">                                                                             </w:t>
    </w:r>
    <w:r>
      <w:rPr>
        <w:rFonts w:ascii="Times New Roman" w:hAnsi="Times New Roman" w:cs="Times New Roman"/>
        <w:bCs/>
        <w:kern w:val="36"/>
        <w:sz w:val="24"/>
        <w:szCs w:val="24"/>
        <w:lang w:val="ru-RU"/>
      </w:rPr>
      <w:t xml:space="preserve">  </w:t>
    </w:r>
    <w:r w:rsidR="00F7295A" w:rsidRPr="00F7295A">
      <w:rPr>
        <w:rFonts w:ascii="Times New Roman" w:hAnsi="Times New Roman" w:cs="Times New Roman"/>
        <w:bCs/>
        <w:kern w:val="36"/>
        <w:sz w:val="24"/>
        <w:szCs w:val="24"/>
        <w:lang w:val="ru-RU"/>
      </w:rPr>
      <w:t>20</w:t>
    </w:r>
    <w:r w:rsidRPr="00690437">
      <w:rPr>
        <w:rFonts w:ascii="Times New Roman" w:hAnsi="Times New Roman" w:cs="Times New Roman"/>
        <w:bCs/>
        <w:kern w:val="36"/>
        <w:sz w:val="24"/>
        <w:szCs w:val="24"/>
      </w:rPr>
      <w:t>.</w:t>
    </w:r>
    <w:r>
      <w:rPr>
        <w:rFonts w:ascii="Times New Roman" w:hAnsi="Times New Roman" w:cs="Times New Roman"/>
        <w:bCs/>
        <w:kern w:val="36"/>
        <w:sz w:val="24"/>
        <w:szCs w:val="24"/>
      </w:rPr>
      <w:t>0</w:t>
    </w:r>
    <w:r w:rsidR="00F7295A" w:rsidRPr="00F7295A">
      <w:rPr>
        <w:rFonts w:ascii="Times New Roman" w:hAnsi="Times New Roman" w:cs="Times New Roman"/>
        <w:bCs/>
        <w:kern w:val="36"/>
        <w:sz w:val="24"/>
        <w:szCs w:val="24"/>
        <w:lang w:val="ru-RU"/>
      </w:rPr>
      <w:t>7</w:t>
    </w:r>
    <w:r w:rsidRPr="00690437">
      <w:rPr>
        <w:rFonts w:ascii="Times New Roman" w:hAnsi="Times New Roman" w:cs="Times New Roman"/>
        <w:bCs/>
        <w:kern w:val="36"/>
        <w:sz w:val="24"/>
        <w:szCs w:val="24"/>
      </w:rPr>
      <w:t>.202</w:t>
    </w:r>
    <w:r>
      <w:rPr>
        <w:rFonts w:ascii="Times New Roman" w:hAnsi="Times New Roman" w:cs="Times New Roman"/>
        <w:bCs/>
        <w:kern w:val="36"/>
        <w:sz w:val="24"/>
        <w:szCs w:val="24"/>
      </w:rPr>
      <w:t>2</w:t>
    </w:r>
    <w:r w:rsidRPr="00690437">
      <w:rPr>
        <w:rFonts w:ascii="Times New Roman" w:hAnsi="Times New Roman" w:cs="Times New Roman"/>
        <w:bCs/>
        <w:kern w:val="36"/>
        <w:sz w:val="24"/>
        <w:szCs w:val="24"/>
      </w:rPr>
      <w:t xml:space="preserve"> №</w:t>
    </w:r>
    <w:r>
      <w:rPr>
        <w:rFonts w:ascii="Times New Roman" w:hAnsi="Times New Roman" w:cs="Times New Roman"/>
        <w:bCs/>
        <w:kern w:val="36"/>
        <w:sz w:val="24"/>
        <w:szCs w:val="24"/>
      </w:rPr>
      <w:t xml:space="preserve"> </w:t>
    </w:r>
    <w:r w:rsidR="00F7295A" w:rsidRPr="00F7295A">
      <w:rPr>
        <w:rFonts w:ascii="Times New Roman" w:hAnsi="Times New Roman" w:cs="Times New Roman"/>
        <w:bCs/>
        <w:kern w:val="36"/>
        <w:sz w:val="24"/>
        <w:szCs w:val="24"/>
        <w:lang w:val="ru-RU"/>
      </w:rPr>
      <w:t>1794</w:t>
    </w:r>
    <w:r w:rsidRPr="00FE6D78">
      <w:rPr>
        <w:rFonts w:ascii="Times New Roman" w:hAnsi="Times New Roman" w:cs="Times New Roman"/>
        <w:bCs/>
        <w:kern w:val="36"/>
        <w:sz w:val="24"/>
        <w:szCs w:val="24"/>
      </w:rPr>
      <w:t>/23-00-24-02-06</w:t>
    </w:r>
  </w:p>
  <w:p w:rsidR="00EB59A2" w:rsidRDefault="00EB59A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11F8"/>
    <w:multiLevelType w:val="hybridMultilevel"/>
    <w:tmpl w:val="57806060"/>
    <w:lvl w:ilvl="0" w:tplc="29F89A5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AB72E4"/>
    <w:multiLevelType w:val="hybridMultilevel"/>
    <w:tmpl w:val="D03C32AA"/>
    <w:lvl w:ilvl="0" w:tplc="E3664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17709"/>
    <w:multiLevelType w:val="hybridMultilevel"/>
    <w:tmpl w:val="D6F87AD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56400D"/>
    <w:multiLevelType w:val="hybridMultilevel"/>
    <w:tmpl w:val="CB8C2D66"/>
    <w:lvl w:ilvl="0" w:tplc="3C96D6E6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F141FA"/>
    <w:multiLevelType w:val="hybridMultilevel"/>
    <w:tmpl w:val="CAAA81D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70F7F"/>
    <w:multiLevelType w:val="hybridMultilevel"/>
    <w:tmpl w:val="7A3A93F6"/>
    <w:lvl w:ilvl="0" w:tplc="E3664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34372"/>
    <w:multiLevelType w:val="hybridMultilevel"/>
    <w:tmpl w:val="683A178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6632CC1"/>
    <w:multiLevelType w:val="hybridMultilevel"/>
    <w:tmpl w:val="F40281F0"/>
    <w:lvl w:ilvl="0" w:tplc="DD545952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b w:val="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882E20"/>
    <w:multiLevelType w:val="hybridMultilevel"/>
    <w:tmpl w:val="89DC657C"/>
    <w:lvl w:ilvl="0" w:tplc="3F82D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DF52697"/>
    <w:multiLevelType w:val="hybridMultilevel"/>
    <w:tmpl w:val="52141BB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221C7B"/>
    <w:multiLevelType w:val="hybridMultilevel"/>
    <w:tmpl w:val="C234E74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D79E7"/>
    <w:multiLevelType w:val="hybridMultilevel"/>
    <w:tmpl w:val="B2DA073A"/>
    <w:lvl w:ilvl="0" w:tplc="4D14533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B0779B"/>
    <w:multiLevelType w:val="hybridMultilevel"/>
    <w:tmpl w:val="CFF6A4F2"/>
    <w:lvl w:ilvl="0" w:tplc="4DA629E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8"/>
        <w:szCs w:val="28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704F6E"/>
    <w:multiLevelType w:val="hybridMultilevel"/>
    <w:tmpl w:val="DC182356"/>
    <w:lvl w:ilvl="0" w:tplc="C12AE0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9EF4A4B"/>
    <w:multiLevelType w:val="hybridMultilevel"/>
    <w:tmpl w:val="B36016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0"/>
  </w:num>
  <w:num w:numId="4">
    <w:abstractNumId w:val="12"/>
  </w:num>
  <w:num w:numId="5">
    <w:abstractNumId w:val="3"/>
  </w:num>
  <w:num w:numId="6">
    <w:abstractNumId w:val="6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11"/>
  </w:num>
  <w:num w:numId="12">
    <w:abstractNumId w:val="14"/>
  </w:num>
  <w:num w:numId="13">
    <w:abstractNumId w:val="1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2B"/>
    <w:rsid w:val="00013468"/>
    <w:rsid w:val="000134A8"/>
    <w:rsid w:val="000276C7"/>
    <w:rsid w:val="000B23EB"/>
    <w:rsid w:val="0010528D"/>
    <w:rsid w:val="0014030E"/>
    <w:rsid w:val="001B0F67"/>
    <w:rsid w:val="001E23BD"/>
    <w:rsid w:val="0021402B"/>
    <w:rsid w:val="00282E18"/>
    <w:rsid w:val="00283C99"/>
    <w:rsid w:val="0030323E"/>
    <w:rsid w:val="0031508C"/>
    <w:rsid w:val="00376431"/>
    <w:rsid w:val="003C638F"/>
    <w:rsid w:val="003D7EE3"/>
    <w:rsid w:val="003E3D42"/>
    <w:rsid w:val="004067E9"/>
    <w:rsid w:val="0042296B"/>
    <w:rsid w:val="004661C6"/>
    <w:rsid w:val="00471BF4"/>
    <w:rsid w:val="0052438C"/>
    <w:rsid w:val="00526658"/>
    <w:rsid w:val="00540459"/>
    <w:rsid w:val="00564EB1"/>
    <w:rsid w:val="005A4F4F"/>
    <w:rsid w:val="005D148E"/>
    <w:rsid w:val="005E4675"/>
    <w:rsid w:val="00600FF3"/>
    <w:rsid w:val="006B2391"/>
    <w:rsid w:val="006D77CC"/>
    <w:rsid w:val="00711B76"/>
    <w:rsid w:val="00750113"/>
    <w:rsid w:val="007618A4"/>
    <w:rsid w:val="0077270E"/>
    <w:rsid w:val="00787DE9"/>
    <w:rsid w:val="007A00E1"/>
    <w:rsid w:val="007A1749"/>
    <w:rsid w:val="007E3D16"/>
    <w:rsid w:val="0093055D"/>
    <w:rsid w:val="009706FB"/>
    <w:rsid w:val="009F30F3"/>
    <w:rsid w:val="00AB040B"/>
    <w:rsid w:val="00AC19D7"/>
    <w:rsid w:val="00AC6A0F"/>
    <w:rsid w:val="00AE04AB"/>
    <w:rsid w:val="00B27A66"/>
    <w:rsid w:val="00B322BB"/>
    <w:rsid w:val="00B47210"/>
    <w:rsid w:val="00B7659A"/>
    <w:rsid w:val="00B861FC"/>
    <w:rsid w:val="00B945DA"/>
    <w:rsid w:val="00BA6B41"/>
    <w:rsid w:val="00BD47A4"/>
    <w:rsid w:val="00BF24C9"/>
    <w:rsid w:val="00C07EFD"/>
    <w:rsid w:val="00C97571"/>
    <w:rsid w:val="00CD720D"/>
    <w:rsid w:val="00CE355C"/>
    <w:rsid w:val="00E7183C"/>
    <w:rsid w:val="00EB59A2"/>
    <w:rsid w:val="00F7295A"/>
    <w:rsid w:val="00FE1633"/>
    <w:rsid w:val="00FE3113"/>
    <w:rsid w:val="00FE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0F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6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7E9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600F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00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EB5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59A2"/>
  </w:style>
  <w:style w:type="paragraph" w:styleId="ab">
    <w:name w:val="footer"/>
    <w:basedOn w:val="a"/>
    <w:link w:val="ac"/>
    <w:uiPriority w:val="99"/>
    <w:unhideWhenUsed/>
    <w:rsid w:val="00EB5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59A2"/>
  </w:style>
  <w:style w:type="paragraph" w:styleId="ad">
    <w:name w:val="Normal (Web)"/>
    <w:basedOn w:val="a"/>
    <w:uiPriority w:val="99"/>
    <w:semiHidden/>
    <w:unhideWhenUsed/>
    <w:rsid w:val="00F72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Hyperlink"/>
    <w:uiPriority w:val="99"/>
    <w:rsid w:val="00B945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0F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6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7E9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600F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00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EB5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59A2"/>
  </w:style>
  <w:style w:type="paragraph" w:styleId="ab">
    <w:name w:val="footer"/>
    <w:basedOn w:val="a"/>
    <w:link w:val="ac"/>
    <w:uiPriority w:val="99"/>
    <w:unhideWhenUsed/>
    <w:rsid w:val="00EB59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59A2"/>
  </w:style>
  <w:style w:type="paragraph" w:styleId="ad">
    <w:name w:val="Normal (Web)"/>
    <w:basedOn w:val="a"/>
    <w:uiPriority w:val="99"/>
    <w:semiHidden/>
    <w:unhideWhenUsed/>
    <w:rsid w:val="00F72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Hyperlink"/>
    <w:uiPriority w:val="99"/>
    <w:rsid w:val="00B94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k.tax.gov.ua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ck.zmi@tax.gov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FAE05-DCD0-4C84-B7AB-667DB2DCE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1784</Words>
  <Characters>1017</Characters>
  <Application>Microsoft Office Word</Application>
  <DocSecurity>4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Оніщенко Віталій Володимирович</cp:lastModifiedBy>
  <cp:revision>2</cp:revision>
  <cp:lastPrinted>2022-07-20T06:35:00Z</cp:lastPrinted>
  <dcterms:created xsi:type="dcterms:W3CDTF">2022-07-28T12:55:00Z</dcterms:created>
  <dcterms:modified xsi:type="dcterms:W3CDTF">2022-07-28T12:55:00Z</dcterms:modified>
</cp:coreProperties>
</file>